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2020年广州市基层科普工作</w:t>
      </w:r>
    </w:p>
    <w:p>
      <w:pPr>
        <w:spacing w:after="312" w:afterLines="100"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先进集体和优秀科普工作者推荐名额分配表</w:t>
      </w:r>
    </w:p>
    <w:tbl>
      <w:tblPr>
        <w:tblStyle w:val="2"/>
        <w:tblW w:w="94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291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55" w:type="dxa"/>
            <w:tcBorders>
              <w:tl2br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奖项和数量</w:t>
            </w:r>
          </w:p>
          <w:p>
            <w:pPr>
              <w:spacing w:line="0" w:lineRule="atLeas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单位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先进集体（个）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优秀科普工作者（名）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越秀区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海珠区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荔湾区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天河区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白云区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黄埔区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花都区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番禺区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南沙区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从化区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增城区</w:t>
            </w:r>
          </w:p>
        </w:tc>
        <w:tc>
          <w:tcPr>
            <w:tcW w:w="2910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（须包含社区、镇或村、农技协或者农村科普示范基地）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（须包括社区、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Cs w:val="21"/>
              </w:rPr>
              <w:t>农村科普带头人）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学会（协会、研究会）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每个学会可推荐1个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每个学会可推荐1个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企事业科协（含高校科协）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每个企事业科协可推荐1个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每个企事业科协可推荐1个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直属单位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每个直属单位可推荐1个</w:t>
            </w:r>
          </w:p>
        </w:tc>
        <w:tc>
          <w:tcPr>
            <w:tcW w:w="3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2"/>
                <w:szCs w:val="24"/>
              </w:rPr>
            </w:pPr>
            <w:r>
              <w:rPr>
                <w:rFonts w:ascii="Times New Roman" w:hAnsi="Times New Roman" w:eastAsia="仿宋_GB2312"/>
                <w:sz w:val="22"/>
                <w:szCs w:val="24"/>
              </w:rPr>
              <w:t>每个直属单位可推荐1个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626A6"/>
    <w:rsid w:val="5B2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2020-07-01T03:27:00Z</dcterms:created>
  <dc:creator>许劲松</dc:creator>
  <cp:lastModifiedBy>许劲松</cp:lastModifiedBy>
  <dcterms:modified xsi:type="dcterms:W3CDTF">2020-07-01T03:28:42Z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