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312" w:afterLines="100" w:afterAutospacing="0" w:line="62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广州青少年科技馆展览与活动简介</w:t>
      </w:r>
    </w:p>
    <w:p>
      <w:pPr>
        <w:pStyle w:val="4"/>
        <w:adjustRightInd w:val="0"/>
        <w:snapToGrid w:val="0"/>
        <w:spacing w:before="0" w:beforeAutospacing="0" w:after="0" w:afterAutospacing="0" w:line="6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一、展览简介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（一）《摘星少年 逐梦九天》航天科普展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一楼。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2021年，中国空间站“天和号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核心舱发射成功拉开中国航天空间站时代的序幕。中华民族在大空安家的</w:t>
      </w:r>
      <w:r>
        <w:rPr>
          <w:rFonts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望即将实现，国人为之振奋、骄傲，再次激起人们极大的航天热情。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为更好诠释神奇的航天科技，展示中国航天近期在载人航天深空探测等领域取得的最新成果，满足青少年对航天知识的渴求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“摘星少年逐梦九天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中国航天科普展以“跟中国航天一起去</w:t>
      </w:r>
      <w:r>
        <w:rPr>
          <w:rFonts w:ascii="仿宋_GB2312" w:hAnsi="仿宋_GB2312" w:eastAsia="仿宋_GB2312" w:cs="仿宋_GB2312"/>
          <w:sz w:val="32"/>
          <w:szCs w:val="32"/>
        </w:rPr>
        <w:t>遥</w:t>
      </w:r>
      <w:r>
        <w:rPr>
          <w:rFonts w:hint="eastAsia" w:ascii="仿宋_GB2312" w:hAnsi="仿宋_GB2312" w:eastAsia="仿宋_GB2312" w:cs="仿宋_GB2312"/>
          <w:sz w:val="32"/>
          <w:szCs w:val="32"/>
        </w:rPr>
        <w:t>远的太空摘星星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为主线，以童趣的视角，带观众追随中国航天的探索脚步，飞跃天宫空间站，飞跃月球，飞跃火星，引导青少年了解中国航天的历史，体验奇妙的太空生活，感悟科学精神传承航天文化。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为让小观众们真正体验到“漫步太空”的奇妙感受，展览安排了展板、模型、多媒体互动演示，还将生活舱、太空课堂、登陆火星等科幻场景“搬到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了科技馆，让这趟“太空之旅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既涨知识又有乐趣。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众心向党 自立自强——“党领导下的科学家”主题展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四楼附楼。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以中国共产党的坚强领导和伟大指引为主线，以科学家精神为框架，展示科学家在中国共产党领导下实现中华民族伟大复兴“中国梦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的百年奋斗历程。内容包括“科学无国界，科学家有祖国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胸怀祖国服务人民</w:t>
      </w:r>
      <w:r>
        <w:rPr>
          <w:rFonts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在独创独有上下功夫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勇攀高峰敢为人先</w:t>
      </w:r>
      <w:r>
        <w:rPr>
          <w:rFonts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坚持实事求是，就能兴党兴国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追求真理严谨治学</w:t>
      </w:r>
      <w:r>
        <w:rPr>
          <w:rFonts w:ascii="仿宋_GB2312" w:hAnsi="仿宋_GB2312" w:eastAsia="仿宋_GB2312" w:cs="仿宋_GB2312"/>
          <w:sz w:val="32"/>
          <w:szCs w:val="32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</w:rPr>
        <w:t>把个人理想自觉融入国家发展伟业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淡泊名利潜心研究”“既要有工匠精神，又要有团结精神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集智攻关团结协作”国家科技创新力的根本源泉在于人</w:t>
      </w:r>
      <w:r>
        <w:rPr>
          <w:rFonts w:ascii="仿宋_GB2312" w:hAnsi="仿宋_GB2312" w:eastAsia="仿宋_GB2312" w:cs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甘为人梯奖掖后学”等六部分。</w:t>
      </w:r>
    </w:p>
    <w:p>
      <w:pPr>
        <w:numPr>
          <w:ilvl w:val="0"/>
          <w:numId w:val="2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全国林草生物多样性保护成就展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二楼附楼。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以萌发万物的种子为出发点，将体验式学习作为理论基础，提供给儿童探索自然、重读生命的全新解读视角。内容分为种子展示区、植物生态区、植物农场区、趣味互动区等四个部分。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、创客体验活动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科学探究活动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二楼。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1.趣味科学实验表演（火山大爆发、大象牙膏等）。2.机器人世界杯足球赛。3.仿生机器人擂台赛。4.无动力轨道小车制作赛。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）航空飞行体验活动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一楼西边。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1.无人机穿越体验。2.航空模拟飞行。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（三）其他主题活动不定期举办</w:t>
      </w:r>
    </w:p>
    <w:p>
      <w:pPr>
        <w:pStyle w:val="3"/>
        <w:rPr>
          <w:rFonts w:hint="eastAsia"/>
        </w:rPr>
      </w:pPr>
      <w:r>
        <w:rPr>
          <w:rFonts w:ascii="黑体" w:hAnsi="黑体" w:eastAsia="黑体" w:cs="黑体"/>
          <w:sz w:val="32"/>
          <w:szCs w:val="32"/>
        </w:rPr>
        <w:t xml:space="preserve">    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展期与地点</w:t>
      </w:r>
    </w:p>
    <w:tbl>
      <w:tblPr>
        <w:tblStyle w:val="5"/>
        <w:tblW w:w="5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201"/>
        <w:gridCol w:w="199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10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活动安排</w:t>
            </w:r>
          </w:p>
        </w:tc>
        <w:tc>
          <w:tcPr>
            <w:tcW w:w="1144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展期</w:t>
            </w:r>
          </w:p>
        </w:tc>
        <w:tc>
          <w:tcPr>
            <w:tcW w:w="903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10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《摘星少年 逐梦九天》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航天科普展</w:t>
            </w:r>
          </w:p>
        </w:tc>
        <w:tc>
          <w:tcPr>
            <w:tcW w:w="1144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5.28—8.31</w:t>
            </w:r>
          </w:p>
        </w:tc>
        <w:tc>
          <w:tcPr>
            <w:tcW w:w="903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10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创客体验活动</w:t>
            </w:r>
          </w:p>
        </w:tc>
        <w:tc>
          <w:tcPr>
            <w:tcW w:w="1144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5.28—12.31</w:t>
            </w:r>
          </w:p>
        </w:tc>
        <w:tc>
          <w:tcPr>
            <w:tcW w:w="903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410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全国林草生物多样性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保护成就展</w:t>
            </w:r>
          </w:p>
        </w:tc>
        <w:tc>
          <w:tcPr>
            <w:tcW w:w="1144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5.28—6.30</w:t>
            </w:r>
          </w:p>
        </w:tc>
        <w:tc>
          <w:tcPr>
            <w:tcW w:w="903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二楼附楼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41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众心向党 自立自强——“党领导下的科学家”主题展</w:t>
            </w:r>
          </w:p>
        </w:tc>
        <w:tc>
          <w:tcPr>
            <w:tcW w:w="1144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5.28—6.20</w:t>
            </w:r>
          </w:p>
        </w:tc>
        <w:tc>
          <w:tcPr>
            <w:tcW w:w="903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四楼附楼</w:t>
            </w:r>
          </w:p>
        </w:tc>
      </w:tr>
    </w:tbl>
    <w:p>
      <w:pPr>
        <w:pStyle w:val="7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F9DBB"/>
    <w:multiLevelType w:val="singleLevel"/>
    <w:tmpl w:val="D4FF9DB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FF1BA2"/>
    <w:multiLevelType w:val="singleLevel"/>
    <w:tmpl w:val="5EFF1B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2022-06-10T01:27:14Z</dcterms:created>
  <dc:creator>Administrator</dc:creator>
  <cp:lastModifiedBy>逸然</cp:lastModifiedBy>
  <dcterms:modified xsi:type="dcterms:W3CDTF">2022-06-10T01:27:26Z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34AD034CD38543ACB7A2A0BAE2FD8D94</vt:lpwstr>
  </property>
</Properties>
</file>